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CB" w:rsidRPr="00FC51B8" w:rsidRDefault="00FC51B8" w:rsidP="00FC51B8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FC51B8">
        <w:rPr>
          <w:rFonts w:ascii="Times New Roman" w:hAnsi="Times New Roman" w:cs="Times New Roman"/>
          <w:b/>
        </w:rPr>
        <w:t>GUMEL LOCAL GOVERNMENT COUNCIL</w:t>
      </w:r>
    </w:p>
    <w:p w:rsidR="00FC51B8" w:rsidRDefault="00FC51B8" w:rsidP="00FC51B8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FC51B8">
        <w:rPr>
          <w:rFonts w:ascii="Times New Roman" w:hAnsi="Times New Roman" w:cs="Times New Roman"/>
          <w:b/>
        </w:rPr>
        <w:t>JIGAWA STATE</w:t>
      </w:r>
    </w:p>
    <w:p w:rsidR="00FC51B8" w:rsidRDefault="00FC51B8" w:rsidP="00FC51B8">
      <w:pPr>
        <w:spacing w:after="0" w:line="480" w:lineRule="auto"/>
        <w:jc w:val="center"/>
        <w:rPr>
          <w:rFonts w:ascii="Times New Roman" w:hAnsi="Times New Roman" w:cs="Times New Roman"/>
          <w:sz w:val="20"/>
        </w:rPr>
      </w:pPr>
      <w:r w:rsidRPr="00FC51B8">
        <w:rPr>
          <w:rFonts w:ascii="Times New Roman" w:hAnsi="Times New Roman" w:cs="Times New Roman"/>
          <w:sz w:val="20"/>
        </w:rPr>
        <w:t>DISCLOSURE AND OTHER GENERAL OBSERVATIONS FOR THE YEAR ENDED 31</w:t>
      </w:r>
      <w:r w:rsidRPr="00FC51B8">
        <w:rPr>
          <w:rFonts w:ascii="Times New Roman" w:hAnsi="Times New Roman" w:cs="Times New Roman"/>
          <w:sz w:val="20"/>
          <w:vertAlign w:val="superscript"/>
        </w:rPr>
        <w:t xml:space="preserve">ST </w:t>
      </w:r>
      <w:r w:rsidRPr="00FC51B8">
        <w:rPr>
          <w:rFonts w:ascii="Times New Roman" w:hAnsi="Times New Roman" w:cs="Times New Roman"/>
          <w:sz w:val="20"/>
        </w:rPr>
        <w:t>DECEMBER</w:t>
      </w:r>
      <w:r>
        <w:rPr>
          <w:rFonts w:ascii="Times New Roman" w:hAnsi="Times New Roman" w:cs="Times New Roman"/>
          <w:sz w:val="20"/>
        </w:rPr>
        <w:t>,</w:t>
      </w:r>
      <w:r w:rsidRPr="00FC51B8">
        <w:rPr>
          <w:rFonts w:ascii="Times New Roman" w:hAnsi="Times New Roman" w:cs="Times New Roman"/>
          <w:sz w:val="20"/>
        </w:rPr>
        <w:t xml:space="preserve"> 2024</w:t>
      </w:r>
    </w:p>
    <w:p w:rsidR="00FC51B8" w:rsidRDefault="00FC51B8" w:rsidP="00FC51B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STATUTORY ALLOCATIONS AND OTHER FAAC RECEIPTS</w:t>
      </w:r>
    </w:p>
    <w:p w:rsidR="00FC51B8" w:rsidRDefault="00FC51B8" w:rsidP="00FC51B8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Gumel Local Government Council received the Sum of One Billion, Seven Hundred and Eighty Four Million, Nine Hundred and Twelve Thousand, Six Hundred and Twenty Seven Naira, Fifty Six Kobo (₦1,784,912,627.56) only as </w:t>
      </w:r>
      <w:r w:rsidR="00B84AA6">
        <w:rPr>
          <w:rFonts w:ascii="Times New Roman" w:hAnsi="Times New Roman" w:cs="Times New Roman"/>
        </w:rPr>
        <w:t>statutory</w:t>
      </w:r>
      <w:r>
        <w:rPr>
          <w:rFonts w:ascii="Times New Roman" w:hAnsi="Times New Roman" w:cs="Times New Roman"/>
        </w:rPr>
        <w:t xml:space="preserve"> allocations from the Federation accounts for the year 2024 representing 88.80%</w:t>
      </w:r>
      <w:r w:rsidR="00B84AA6">
        <w:rPr>
          <w:rFonts w:ascii="Times New Roman" w:hAnsi="Times New Roman" w:cs="Times New Roman"/>
        </w:rPr>
        <w:t xml:space="preserve"> of the estimated amount of ₦2,010,000,000.00</w:t>
      </w:r>
    </w:p>
    <w:p w:rsidR="00B84AA6" w:rsidRDefault="00606AAB" w:rsidP="00B84AA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VALUE ADDED TAX</w:t>
      </w:r>
    </w:p>
    <w:p w:rsidR="00606AAB" w:rsidRDefault="00606AAB" w:rsidP="00606AAB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One Billion, Nine Hundred and Sixty Million, Nineteen Thousand Seven Hundred and Twenty Nine Naira, Thirty Five Kobo (₦</w:t>
      </w:r>
      <w:r w:rsidR="008237AC">
        <w:rPr>
          <w:rFonts w:ascii="Times New Roman" w:hAnsi="Times New Roman" w:cs="Times New Roman"/>
        </w:rPr>
        <w:t>1,960,019,729.35</w:t>
      </w:r>
      <w:r>
        <w:rPr>
          <w:rFonts w:ascii="Times New Roman" w:hAnsi="Times New Roman" w:cs="Times New Roman"/>
        </w:rPr>
        <w:t>)</w:t>
      </w:r>
      <w:r w:rsidR="00B83A7A">
        <w:rPr>
          <w:rFonts w:ascii="Times New Roman" w:hAnsi="Times New Roman" w:cs="Times New Roman"/>
        </w:rPr>
        <w:t xml:space="preserve"> only as government share of VAT which represents 245% of the budgeted amount of ₦800,000,000.00</w:t>
      </w:r>
    </w:p>
    <w:p w:rsidR="00B83A7A" w:rsidRDefault="00B83A7A" w:rsidP="00B83A7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INDEPENDENT REVENUE </w:t>
      </w:r>
    </w:p>
    <w:p w:rsidR="00B83A7A" w:rsidRDefault="00B83A7A" w:rsidP="00B83A7A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Six Million, Two Hundred and Eighty Six Thousand, Nine Hundred and Ninety Four Naira (₦6,286,994.00) only was generated as internally generated revenue which represents 71.85%</w:t>
      </w:r>
      <w:r w:rsidR="00491CE6">
        <w:rPr>
          <w:rFonts w:ascii="Times New Roman" w:hAnsi="Times New Roman" w:cs="Times New Roman"/>
        </w:rPr>
        <w:t xml:space="preserve"> of the estimated amount of ₦8,750,000.00</w:t>
      </w:r>
    </w:p>
    <w:p w:rsidR="00491CE6" w:rsidRDefault="009A7258" w:rsidP="00491CE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AUGUMENTATION AND OTHER STABILIZATION RECEIPT </w:t>
      </w:r>
    </w:p>
    <w:p w:rsidR="009A7258" w:rsidRDefault="009A7258" w:rsidP="009A7258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Five Hundred and Eighty One Million, Six Hundred and Thirty Thousand, Two Hundred and Eighty Naira, Eighty Eight Kobo (₦581,630,280.88) only was received from other government entities and approved budgeted amount was ₦2,000,000.00</w:t>
      </w:r>
    </w:p>
    <w:p w:rsidR="009A7258" w:rsidRDefault="009A7258" w:rsidP="009A725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RECURRENT EXPENDITURE </w:t>
      </w:r>
    </w:p>
    <w:p w:rsidR="009A7258" w:rsidRDefault="009A7258" w:rsidP="009A7258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Three Billion Nine Hundred and Eighty One Million, Fifty Four Thousand, Four Hundred and Ninety Four Naira, Twenty Two Kobo (₦3,981,054,494.22) only which represents </w:t>
      </w:r>
      <w:r w:rsidR="00F61C2F">
        <w:rPr>
          <w:rFonts w:ascii="Times New Roman" w:hAnsi="Times New Roman" w:cs="Times New Roman"/>
        </w:rPr>
        <w:t xml:space="preserve">100.49% of the budgeted amount of ₦3,961,276,795.86 was expended on recurrent items. </w:t>
      </w:r>
    </w:p>
    <w:p w:rsidR="00F61C2F" w:rsidRDefault="008712A9" w:rsidP="008712A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BANK RECONCILIATION </w:t>
      </w:r>
    </w:p>
    <w:p w:rsidR="008712A9" w:rsidRDefault="008712A9" w:rsidP="008712A9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Local Government accounts have been properly reconciled </w:t>
      </w:r>
    </w:p>
    <w:p w:rsidR="008712A9" w:rsidRDefault="008712A9" w:rsidP="008712A9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BUDGET PERFORMANCE </w:t>
      </w:r>
    </w:p>
    <w:p w:rsidR="001560F9" w:rsidRDefault="008712A9" w:rsidP="008712A9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budget performance for the year ended December 31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>, 2024 in respect of Local Government revenue and expenditure is summarized below:</w:t>
      </w:r>
    </w:p>
    <w:tbl>
      <w:tblPr>
        <w:tblStyle w:val="TableGrid"/>
        <w:tblW w:w="10461" w:type="dxa"/>
        <w:tblInd w:w="18" w:type="dxa"/>
        <w:tblLook w:val="04A0" w:firstRow="1" w:lastRow="0" w:firstColumn="1" w:lastColumn="0" w:noHBand="0" w:noVBand="1"/>
      </w:tblPr>
      <w:tblGrid>
        <w:gridCol w:w="3205"/>
        <w:gridCol w:w="1775"/>
        <w:gridCol w:w="1915"/>
        <w:gridCol w:w="1908"/>
        <w:gridCol w:w="1658"/>
      </w:tblGrid>
      <w:tr w:rsidR="001560F9" w:rsidTr="00336A96">
        <w:tc>
          <w:tcPr>
            <w:tcW w:w="10461" w:type="dxa"/>
            <w:gridSpan w:val="5"/>
          </w:tcPr>
          <w:p w:rsidR="001560F9" w:rsidRDefault="001560F9" w:rsidP="001560F9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REVENUE AND EXPENDITURE </w:t>
            </w:r>
          </w:p>
        </w:tc>
      </w:tr>
      <w:tr w:rsidR="001560F9" w:rsidTr="00336A96">
        <w:tc>
          <w:tcPr>
            <w:tcW w:w="3205" w:type="dxa"/>
          </w:tcPr>
          <w:p w:rsidR="001560F9" w:rsidRDefault="001560F9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DESCRIPTION </w:t>
            </w:r>
          </w:p>
        </w:tc>
        <w:tc>
          <w:tcPr>
            <w:tcW w:w="1775" w:type="dxa"/>
          </w:tcPr>
          <w:p w:rsidR="001560F9" w:rsidRDefault="001560F9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ESTIMATED</w:t>
            </w:r>
          </w:p>
        </w:tc>
        <w:tc>
          <w:tcPr>
            <w:tcW w:w="1915" w:type="dxa"/>
          </w:tcPr>
          <w:p w:rsidR="001560F9" w:rsidRDefault="001560F9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ACTUAL </w:t>
            </w:r>
          </w:p>
        </w:tc>
        <w:tc>
          <w:tcPr>
            <w:tcW w:w="1908" w:type="dxa"/>
          </w:tcPr>
          <w:p w:rsidR="001560F9" w:rsidRDefault="001560F9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VARIANCE </w:t>
            </w:r>
          </w:p>
        </w:tc>
        <w:tc>
          <w:tcPr>
            <w:tcW w:w="1658" w:type="dxa"/>
          </w:tcPr>
          <w:p w:rsidR="001560F9" w:rsidRDefault="001560F9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PERCENTAGE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STATUTORY ALLOCATION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2,010,000,000.00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1,784,912,627.56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225,087,372.44 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  <w:r w:rsidR="005311A2">
              <w:rPr>
                <w:rFonts w:ascii="Calibri" w:hAnsi="Calibri" w:cs="Calibri"/>
                <w:color w:val="000000"/>
              </w:rPr>
              <w:t>88.80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VALUE ADDED TAX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800,000,000.00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1,960,019,729.35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(1,160,019,729.35)</w:t>
            </w:r>
          </w:p>
        </w:tc>
        <w:tc>
          <w:tcPr>
            <w:tcW w:w="165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AUGUMENTATION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2,000,000.00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581,630,280.88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(579,630,280.88)</w:t>
            </w:r>
          </w:p>
        </w:tc>
        <w:tc>
          <w:tcPr>
            <w:tcW w:w="165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INDEPENDENT REVENUE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8,750,000.00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6,286,994.00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2,463,006.00 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  <w:r w:rsidR="005311A2">
              <w:rPr>
                <w:rFonts w:ascii="Calibri" w:hAnsi="Calibri" w:cs="Calibri"/>
                <w:color w:val="000000"/>
              </w:rPr>
              <w:t xml:space="preserve"> 71.85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REEVENUE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2,820,750,000.00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4,332,849,631.79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(1,512,099,631.79)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  <w:r w:rsidR="005311A2">
              <w:rPr>
                <w:rFonts w:ascii="Calibri" w:hAnsi="Calibri" w:cs="Calibri"/>
                <w:color w:val="000000"/>
              </w:rPr>
              <w:t xml:space="preserve"> 153.61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EXPENDITURE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RECURRENT EXPENDITURE</w:t>
            </w:r>
          </w:p>
        </w:tc>
        <w:tc>
          <w:tcPr>
            <w:tcW w:w="1775" w:type="dxa"/>
            <w:vAlign w:val="bottom"/>
          </w:tcPr>
          <w:p w:rsidR="005311A2" w:rsidRDefault="00336A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</w:t>
            </w:r>
            <w:r w:rsidR="005311A2">
              <w:rPr>
                <w:rFonts w:ascii="Calibri" w:hAnsi="Calibri" w:cs="Calibri"/>
                <w:color w:val="000000"/>
              </w:rPr>
              <w:t xml:space="preserve">3,961,276,795.86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3,981,054,494.22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(19,777,698.36)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  <w:r w:rsidR="005311A2">
              <w:rPr>
                <w:rFonts w:ascii="Calibri" w:hAnsi="Calibri" w:cs="Calibri"/>
                <w:color w:val="000000"/>
              </w:rPr>
              <w:t>100.50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CAPITAL EXPENDITURE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918,440,102.14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352,070,676.57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566,369,425.57 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  <w:r w:rsidR="005311A2">
              <w:rPr>
                <w:rFonts w:ascii="Calibri" w:hAnsi="Calibri" w:cs="Calibri"/>
                <w:color w:val="000000"/>
              </w:rPr>
              <w:t>38.33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311A2" w:rsidTr="00336A96">
        <w:tc>
          <w:tcPr>
            <w:tcW w:w="3205" w:type="dxa"/>
          </w:tcPr>
          <w:p w:rsidR="005311A2" w:rsidRDefault="005311A2" w:rsidP="008712A9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EXPENDITURE</w:t>
            </w:r>
          </w:p>
        </w:tc>
        <w:tc>
          <w:tcPr>
            <w:tcW w:w="177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4,879,716,898.00 </w:t>
            </w:r>
          </w:p>
        </w:tc>
        <w:tc>
          <w:tcPr>
            <w:tcW w:w="1915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4,333,125,170.79 </w:t>
            </w:r>
          </w:p>
        </w:tc>
        <w:tc>
          <w:tcPr>
            <w:tcW w:w="1908" w:type="dxa"/>
            <w:vAlign w:val="bottom"/>
          </w:tcPr>
          <w:p w:rsidR="005311A2" w:rsidRDefault="005311A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546,591,727.21 </w:t>
            </w:r>
          </w:p>
        </w:tc>
        <w:tc>
          <w:tcPr>
            <w:tcW w:w="1658" w:type="dxa"/>
            <w:vAlign w:val="bottom"/>
          </w:tcPr>
          <w:p w:rsidR="005311A2" w:rsidRDefault="009C12BC" w:rsidP="009C12B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  <w:bookmarkStart w:id="0" w:name="_GoBack"/>
            <w:bookmarkEnd w:id="0"/>
            <w:r w:rsidR="005311A2">
              <w:rPr>
                <w:rFonts w:ascii="Calibri" w:hAnsi="Calibri" w:cs="Calibri"/>
                <w:color w:val="000000"/>
              </w:rPr>
              <w:t xml:space="preserve"> 88.80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5311A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:rsidR="008712A9" w:rsidRPr="008712A9" w:rsidRDefault="008712A9" w:rsidP="008712A9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84AA6" w:rsidRDefault="008C5813" w:rsidP="008C5813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REVENUE</w:t>
      </w:r>
    </w:p>
    <w:p w:rsidR="008C5813" w:rsidRDefault="008C5813" w:rsidP="008C5813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the above table, the Sum of Four Billion, Three Hundred and Thirty Two Million, Eight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Nine Thousand, Six Hundred and Thirty One Naira, Seventy Nine Kobo (₦4,332,849,631.79) only was received and generated as total revenue both from the Federation accounts and internally generated revenue. This figure represents 153.60% of the approved estimated amount of ₦2,820,750,000.00</w:t>
      </w:r>
    </w:p>
    <w:p w:rsidR="008C5813" w:rsidRDefault="003767B2" w:rsidP="008C5813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RECURRENT EXPENDITURE </w:t>
      </w:r>
    </w:p>
    <w:p w:rsidR="00B2161A" w:rsidRDefault="003767B2" w:rsidP="003767B2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Three Billion, Nine Hundred and Eighty One Million,</w:t>
      </w:r>
      <w:r w:rsidR="00B2161A">
        <w:rPr>
          <w:rFonts w:ascii="Times New Roman" w:hAnsi="Times New Roman" w:cs="Times New Roman"/>
        </w:rPr>
        <w:t xml:space="preserve"> Fifty Four Thousand, Four Hundred and Ninety Four Naira, Twenty Two Kobo (₦3,981,054,494.22) only was expended on recurrent items. It represents 100.50% of the approved estimated amount of ₦3,961,276,795.86</w:t>
      </w:r>
    </w:p>
    <w:p w:rsidR="00B2161A" w:rsidRDefault="00B2161A" w:rsidP="00B2161A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CAPITAL EXPENDITURE</w:t>
      </w:r>
    </w:p>
    <w:p w:rsidR="00FD04A9" w:rsidRDefault="00B2161A" w:rsidP="00B2161A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Three Hundred and Fifty Two Million, Seventy Thousand, Six Hundred and Seventy Six Naira, Fifty Seven Kobo (₦</w:t>
      </w:r>
      <w:r w:rsidR="00FD04A9">
        <w:rPr>
          <w:rFonts w:ascii="Times New Roman" w:hAnsi="Times New Roman" w:cs="Times New Roman"/>
        </w:rPr>
        <w:t>352,070,676.57</w:t>
      </w:r>
      <w:r>
        <w:rPr>
          <w:rFonts w:ascii="Times New Roman" w:hAnsi="Times New Roman" w:cs="Times New Roman"/>
        </w:rPr>
        <w:t>)</w:t>
      </w:r>
      <w:r w:rsidR="00FD04A9">
        <w:rPr>
          <w:rFonts w:ascii="Times New Roman" w:hAnsi="Times New Roman" w:cs="Times New Roman"/>
        </w:rPr>
        <w:t xml:space="preserve"> only was spent on capital expenditures which stand as 38.33% of the budgeted amount approved to the tune of ₦918,440,102.14</w:t>
      </w:r>
    </w:p>
    <w:p w:rsidR="00FD04A9" w:rsidRDefault="00FD04A9" w:rsidP="00B2161A">
      <w:pPr>
        <w:pStyle w:val="ListParagraph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RECOMMENDATIONS</w:t>
      </w:r>
    </w:p>
    <w:p w:rsidR="003767B2" w:rsidRDefault="00FD04A9" w:rsidP="00FD04A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Local government should reduce overspending on recurrent expenditure and shift same to capital projects for the well-being of the community.</w:t>
      </w:r>
    </w:p>
    <w:p w:rsidR="00FD04A9" w:rsidRPr="008C5813" w:rsidRDefault="00C95461" w:rsidP="00FD04A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should be serious on local revenue collections and explore more sources of internal revenue generation.  </w:t>
      </w:r>
    </w:p>
    <w:sectPr w:rsidR="00FD04A9" w:rsidRPr="008C5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F79C3"/>
    <w:multiLevelType w:val="hybridMultilevel"/>
    <w:tmpl w:val="2710E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76554"/>
    <w:multiLevelType w:val="hybridMultilevel"/>
    <w:tmpl w:val="15467466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75F87232"/>
    <w:multiLevelType w:val="hybridMultilevel"/>
    <w:tmpl w:val="CB147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B8"/>
    <w:rsid w:val="001560F9"/>
    <w:rsid w:val="00336A96"/>
    <w:rsid w:val="003767B2"/>
    <w:rsid w:val="00491CE6"/>
    <w:rsid w:val="005311A2"/>
    <w:rsid w:val="005D6FAB"/>
    <w:rsid w:val="00606AAB"/>
    <w:rsid w:val="008237AC"/>
    <w:rsid w:val="008712A9"/>
    <w:rsid w:val="008C5813"/>
    <w:rsid w:val="009A7258"/>
    <w:rsid w:val="009C12BC"/>
    <w:rsid w:val="00A474CB"/>
    <w:rsid w:val="00B2161A"/>
    <w:rsid w:val="00B83A7A"/>
    <w:rsid w:val="00B84AA6"/>
    <w:rsid w:val="00C95461"/>
    <w:rsid w:val="00CB72E7"/>
    <w:rsid w:val="00F61C2F"/>
    <w:rsid w:val="00FC51B8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1B8"/>
    <w:pPr>
      <w:ind w:left="720"/>
      <w:contextualSpacing/>
    </w:pPr>
  </w:style>
  <w:style w:type="table" w:styleId="TableGrid">
    <w:name w:val="Table Grid"/>
    <w:basedOn w:val="TableNormal"/>
    <w:uiPriority w:val="59"/>
    <w:rsid w:val="00156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1B8"/>
    <w:pPr>
      <w:ind w:left="720"/>
      <w:contextualSpacing/>
    </w:pPr>
  </w:style>
  <w:style w:type="table" w:styleId="TableGrid">
    <w:name w:val="Table Grid"/>
    <w:basedOn w:val="TableNormal"/>
    <w:uiPriority w:val="59"/>
    <w:rsid w:val="00156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 KANO</dc:creator>
  <cp:lastModifiedBy>GAME KANO</cp:lastModifiedBy>
  <cp:revision>18</cp:revision>
  <dcterms:created xsi:type="dcterms:W3CDTF">2025-06-21T13:06:00Z</dcterms:created>
  <dcterms:modified xsi:type="dcterms:W3CDTF">2025-06-23T16:51:00Z</dcterms:modified>
</cp:coreProperties>
</file>